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F22C9" w14:textId="79FF1CA5" w:rsidR="00EA0986" w:rsidRDefault="00EA0986" w:rsidP="00EA0986">
      <w:pPr>
        <w:pStyle w:val="NormalWeb"/>
        <w:spacing w:after="150"/>
        <w:rPr>
          <w:b/>
          <w:bCs/>
          <w:sz w:val="44"/>
          <w:szCs w:val="44"/>
        </w:rPr>
      </w:pPr>
      <w:r>
        <w:rPr>
          <w:b/>
          <w:bCs/>
          <w:sz w:val="44"/>
          <w:szCs w:val="44"/>
        </w:rPr>
        <w:t xml:space="preserve">DO YOU AGREE OR DISAGREE AND WHY 75 MINIMUM </w:t>
      </w:r>
      <w:proofErr w:type="gramStart"/>
      <w:r>
        <w:rPr>
          <w:b/>
          <w:bCs/>
          <w:sz w:val="44"/>
          <w:szCs w:val="44"/>
        </w:rPr>
        <w:t>WORDS</w:t>
      </w:r>
      <w:proofErr w:type="gramEnd"/>
      <w:r>
        <w:rPr>
          <w:b/>
          <w:bCs/>
          <w:sz w:val="44"/>
          <w:szCs w:val="44"/>
        </w:rPr>
        <w:t xml:space="preserve"> </w:t>
      </w:r>
    </w:p>
    <w:p w14:paraId="6AF23410" w14:textId="715C4C7C" w:rsidR="00EA0986" w:rsidRPr="00EA0986" w:rsidRDefault="00EA0986" w:rsidP="00EA0986">
      <w:pPr>
        <w:pStyle w:val="NormalWeb"/>
        <w:spacing w:after="150"/>
        <w:rPr>
          <w:rFonts w:eastAsia="Times New Roman"/>
          <w:spacing w:val="2"/>
          <w:sz w:val="21"/>
          <w:szCs w:val="21"/>
        </w:rPr>
      </w:pPr>
      <w:r w:rsidRPr="00EA0986">
        <w:rPr>
          <w:b/>
          <w:bCs/>
          <w:sz w:val="44"/>
          <w:szCs w:val="44"/>
        </w:rPr>
        <w:t>Q 1.</w:t>
      </w:r>
      <w:r w:rsidRPr="00EA0986">
        <w:rPr>
          <w:rFonts w:eastAsia="Times New Roman"/>
          <w:spacing w:val="2"/>
          <w:sz w:val="21"/>
          <w:szCs w:val="21"/>
        </w:rPr>
        <w:t xml:space="preserve"> </w:t>
      </w:r>
      <w:r w:rsidRPr="00EA0986">
        <w:rPr>
          <w:rFonts w:eastAsia="Times New Roman"/>
          <w:spacing w:val="2"/>
          <w:sz w:val="21"/>
          <w:szCs w:val="21"/>
        </w:rPr>
        <w:t>In looking to improve the performance of an organization, there are six areas one could explore. Those areas are (Nassar, 2007):</w:t>
      </w:r>
    </w:p>
    <w:p w14:paraId="68C427C5"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Communication</w:t>
      </w:r>
    </w:p>
    <w:p w14:paraId="4836A860"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Layout/structure</w:t>
      </w:r>
    </w:p>
    <w:p w14:paraId="73E655B8"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Work processes</w:t>
      </w:r>
    </w:p>
    <w:p w14:paraId="667374CB"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Organizational productivity</w:t>
      </w:r>
    </w:p>
    <w:p w14:paraId="765480CF"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Incentives</w:t>
      </w:r>
    </w:p>
    <w:p w14:paraId="22DE8913" w14:textId="77777777" w:rsidR="00EA0986" w:rsidRPr="00EA0986" w:rsidRDefault="00EA0986" w:rsidP="00EA0986">
      <w:pPr>
        <w:numPr>
          <w:ilvl w:val="0"/>
          <w:numId w:val="1"/>
        </w:numPr>
        <w:spacing w:before="100" w:beforeAutospacing="1" w:after="100" w:afterAutospacing="1"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Employee performance</w:t>
      </w:r>
    </w:p>
    <w:p w14:paraId="4E3D6BC1"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Communication, in my opinion, is probably the most important of these areas. For an organization to operate efficiently, communication must flow from both the bottom up and the top down. This allows everyone in the organization to be on the same page. Often, organizations fail to communicate from the top down. This leads to employees not knowing what to expect or unsure of the organization’s goals. Unfortunately, I work for an organization that does not communicate very well from the top down and often find myself uninformed on many of the happenings within my department.</w:t>
      </w:r>
    </w:p>
    <w:p w14:paraId="255B9A64"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 xml:space="preserve">Layout/structure looks at the overall aspect of how the organization is aligned. This alignment can include the physical layout of the office, or how the organizations manpower is </w:t>
      </w:r>
      <w:proofErr w:type="spellStart"/>
      <w:r w:rsidRPr="00EA0986">
        <w:rPr>
          <w:rFonts w:ascii="Times New Roman" w:eastAsia="Times New Roman" w:hAnsi="Times New Roman" w:cs="Times New Roman"/>
          <w:spacing w:val="2"/>
          <w:sz w:val="21"/>
          <w:szCs w:val="21"/>
        </w:rPr>
        <w:t>structured.Having</w:t>
      </w:r>
      <w:proofErr w:type="spellEnd"/>
      <w:r w:rsidRPr="00EA0986">
        <w:rPr>
          <w:rFonts w:ascii="Times New Roman" w:eastAsia="Times New Roman" w:hAnsi="Times New Roman" w:cs="Times New Roman"/>
          <w:spacing w:val="2"/>
          <w:sz w:val="21"/>
          <w:szCs w:val="21"/>
        </w:rPr>
        <w:t xml:space="preserve"> such things as offices, desks, and tables situated in a manner that allows for the team to operate efficiently is vital and saves the organization time and money.</w:t>
      </w:r>
    </w:p>
    <w:p w14:paraId="463EA88C"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Work processes refer to the actions needed to get the work done and the steps involved with the process. An organization needs to make sure unnecessary steps are eliminated and the steps that are in place effectively and efficiently result in a desired outcome. Every so often, these steps should be evaluated to ensure they are still providing the desired outcome or if a new method has been developed that can be implemented to increase efficiency.</w:t>
      </w:r>
    </w:p>
    <w:p w14:paraId="6CD4E1DE"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Organizational productivity deals with the materials the organization needs to operate and how to procure them in a cost-effective manner. Several suppliers might offer the products you need within your organization. The main objective of organizational productivity is to obtain these resources from the supplier who offers the lowest cost with the fastest, most reliable shipping (Nassar, 2007).</w:t>
      </w:r>
    </w:p>
    <w:p w14:paraId="3DE9E7C7"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As a reward, some employers offer incentives in addition to a salary for employees that achieve a high level of performance (Lee, 2014). These incentives can be in the form of money, gifts, or time off. Incentives can also be used to correct employee behavior, if deemed necessary. Problems such as tardiness and absenteeism can have a negative effect on production, therefore requiring the attention of the organization (Nassar, 2007). Whatever the incentive, employees tend to work harder knowing additional benefits are attainable.</w:t>
      </w:r>
    </w:p>
    <w:p w14:paraId="516D86F2"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The last area is performance. An organization must hire and retain employees that perform at a high level and can perform the duties that are required. To aid in retaining these employees, the organization must continue to train them and develop the skills they possess. Through supporting the performance of employees, the organization can empower its employees to be creative and demonstrate their abilities in various areas (Nassar, 2007).</w:t>
      </w:r>
    </w:p>
    <w:p w14:paraId="71DEE0F4"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rPr>
        <w:t>Sources:</w:t>
      </w:r>
    </w:p>
    <w:p w14:paraId="0E68F830"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shd w:val="clear" w:color="auto" w:fill="FFFFFF"/>
        </w:rPr>
        <w:lastRenderedPageBreak/>
        <w:t>Lee, L. W. (2014). Employee compensation. </w:t>
      </w:r>
      <w:r w:rsidRPr="00EA0986">
        <w:rPr>
          <w:rFonts w:ascii="Times New Roman" w:eastAsia="Times New Roman" w:hAnsi="Times New Roman" w:cs="Times New Roman"/>
          <w:i/>
          <w:iCs/>
          <w:spacing w:val="2"/>
          <w:sz w:val="21"/>
          <w:szCs w:val="21"/>
          <w:bdr w:val="none" w:sz="0" w:space="0" w:color="auto" w:frame="1"/>
          <w:shd w:val="clear" w:color="auto" w:fill="FFFFFF"/>
        </w:rPr>
        <w:t>Encyclopedia of Business and Finance</w:t>
      </w:r>
      <w:r w:rsidRPr="00EA0986">
        <w:rPr>
          <w:rFonts w:ascii="Times New Roman" w:eastAsia="Times New Roman" w:hAnsi="Times New Roman" w:cs="Times New Roman"/>
          <w:spacing w:val="2"/>
          <w:sz w:val="21"/>
          <w:szCs w:val="21"/>
          <w:shd w:val="clear" w:color="auto" w:fill="FFFFFF"/>
        </w:rPr>
        <w:t xml:space="preserve"> (3rd ed., Vol. 1, pp. 257-260). Farmington Hills, MI: Macmillan Reference USA. Retrieved from https://link-gale-com.bethelu.idm.oclc.org/apps/doc/CX3727500113/GVRL?u=tel_a_bethelc&amp;sid=GVRL&amp;xid=d21ff6fc</w:t>
      </w:r>
    </w:p>
    <w:p w14:paraId="6C06138A" w14:textId="77777777" w:rsidR="00EA0986" w:rsidRPr="00EA0986" w:rsidRDefault="00EA0986" w:rsidP="00EA0986">
      <w:pPr>
        <w:spacing w:after="150" w:line="240" w:lineRule="auto"/>
        <w:rPr>
          <w:rFonts w:ascii="Times New Roman" w:eastAsia="Times New Roman" w:hAnsi="Times New Roman" w:cs="Times New Roman"/>
          <w:spacing w:val="2"/>
          <w:sz w:val="21"/>
          <w:szCs w:val="21"/>
        </w:rPr>
      </w:pPr>
      <w:r w:rsidRPr="00EA0986">
        <w:rPr>
          <w:rFonts w:ascii="Times New Roman" w:eastAsia="Times New Roman" w:hAnsi="Times New Roman" w:cs="Times New Roman"/>
          <w:spacing w:val="2"/>
          <w:sz w:val="21"/>
          <w:szCs w:val="21"/>
          <w:shd w:val="clear" w:color="auto" w:fill="FFFFFF"/>
        </w:rPr>
        <w:t>Nassar, N.S. (2007). Bethel University, College of Professional Studies. (Savant Learning Systems) Retrieved from Bethel University, College of Professional Studies</w:t>
      </w:r>
    </w:p>
    <w:p w14:paraId="402887A0" w14:textId="15FFEF54" w:rsidR="00EA0986" w:rsidRDefault="00EA0986" w:rsidP="00EA0986">
      <w:pPr>
        <w:spacing w:line="240" w:lineRule="auto"/>
        <w:textAlignment w:val="center"/>
        <w:rPr>
          <w:rFonts w:ascii="Times New Roman" w:eastAsia="Times New Roman" w:hAnsi="Times New Roman" w:cs="Times New Roman"/>
          <w:spacing w:val="2"/>
          <w:sz w:val="21"/>
          <w:szCs w:val="21"/>
        </w:rPr>
      </w:pPr>
      <w:proofErr w:type="gramStart"/>
      <w:r w:rsidRPr="00EA0986">
        <w:rPr>
          <w:rFonts w:ascii="Times New Roman" w:eastAsia="Times New Roman" w:hAnsi="Times New Roman" w:cs="Times New Roman"/>
          <w:spacing w:val="2"/>
          <w:sz w:val="21"/>
          <w:szCs w:val="21"/>
        </w:rPr>
        <w:t>Reply</w:t>
      </w:r>
      <w:r>
        <w:rPr>
          <w:rFonts w:ascii="Times New Roman" w:eastAsia="Times New Roman" w:hAnsi="Times New Roman" w:cs="Times New Roman"/>
          <w:spacing w:val="2"/>
          <w:sz w:val="21"/>
          <w:szCs w:val="21"/>
        </w:rPr>
        <w:t>;</w:t>
      </w:r>
      <w:proofErr w:type="gramEnd"/>
    </w:p>
    <w:p w14:paraId="4C7F7941" w14:textId="7679AF0B" w:rsidR="00EA0986" w:rsidRPr="00EA0986" w:rsidRDefault="00EA0986" w:rsidP="00EA0986">
      <w:pPr>
        <w:pStyle w:val="NormalWeb"/>
        <w:shd w:val="clear" w:color="auto" w:fill="FFFFFF"/>
        <w:spacing w:after="150"/>
        <w:rPr>
          <w:rFonts w:ascii="Helvetica" w:eastAsia="Times New Roman" w:hAnsi="Helvetica" w:cs="Helvetica"/>
          <w:color w:val="333333"/>
          <w:spacing w:val="2"/>
          <w:sz w:val="21"/>
          <w:szCs w:val="21"/>
        </w:rPr>
      </w:pPr>
      <w:r w:rsidRPr="00EA0986">
        <w:rPr>
          <w:rFonts w:eastAsia="Times New Roman"/>
          <w:b/>
          <w:bCs/>
          <w:spacing w:val="2"/>
          <w:sz w:val="40"/>
          <w:szCs w:val="40"/>
        </w:rPr>
        <w:t>O2.</w:t>
      </w:r>
      <w:r w:rsidRPr="00EA0986">
        <w:rPr>
          <w:rFonts w:ascii="Helvetica" w:eastAsia="Times New Roman" w:hAnsi="Helvetica" w:cs="Helvetica"/>
          <w:b/>
          <w:bCs/>
          <w:color w:val="333333"/>
          <w:spacing w:val="2"/>
          <w:sz w:val="21"/>
          <w:szCs w:val="21"/>
        </w:rPr>
        <w:t xml:space="preserve"> </w:t>
      </w:r>
      <w:r w:rsidRPr="00EA0986">
        <w:rPr>
          <w:rFonts w:ascii="Helvetica" w:eastAsia="Times New Roman" w:hAnsi="Helvetica" w:cs="Helvetica"/>
          <w:b/>
          <w:bCs/>
          <w:color w:val="333333"/>
          <w:spacing w:val="2"/>
          <w:sz w:val="21"/>
          <w:szCs w:val="21"/>
        </w:rPr>
        <w:t>Nassar lists six areas for possible improvement for this week’s reading. The six areas are communication, work process, incentives, layout/structure, organizational productivity, and employee performance (Nassar, 2007).</w:t>
      </w:r>
    </w:p>
    <w:p w14:paraId="515B846F" w14:textId="77777777" w:rsidR="00EA0986" w:rsidRPr="00EA0986" w:rsidRDefault="00EA0986" w:rsidP="00EA0986">
      <w:pPr>
        <w:shd w:val="clear" w:color="auto" w:fill="FFFFFF"/>
        <w:spacing w:after="150" w:line="240" w:lineRule="auto"/>
        <w:rPr>
          <w:rFonts w:ascii="Helvetica" w:eastAsia="Times New Roman" w:hAnsi="Helvetica" w:cs="Helvetica"/>
          <w:color w:val="333333"/>
          <w:spacing w:val="2"/>
          <w:sz w:val="21"/>
          <w:szCs w:val="21"/>
        </w:rPr>
      </w:pPr>
      <w:r w:rsidRPr="00EA0986">
        <w:rPr>
          <w:rFonts w:ascii="Helvetica" w:eastAsia="Times New Roman" w:hAnsi="Helvetica" w:cs="Helvetica"/>
          <w:b/>
          <w:bCs/>
          <w:color w:val="333333"/>
          <w:spacing w:val="2"/>
          <w:sz w:val="21"/>
          <w:szCs w:val="21"/>
        </w:rPr>
        <w:t>Since all departments within organizations are interconnected, communication is key to reaching organizational goals. The information must flow openly and quickly within the organization as well as to entities outside of the organization such as customers and suppliers (Nassar, 2007). Another area for improvement is the work processes. If any of the organization’s processes are inefficient, that slows down production. Managers can look for ways to combine or eliminate processes to increase productivity (Nassar, 2007). Layout or structure refers to the physical layout of your organization as well as how the hierarchy of employees is managed (Nassar, 2007). Managers can improve efficiencies by considering how the office is arranged as far as furniture and office placement. Another area to improve is incentives. The goal of incentives is to improve employee satisfaction (Nassar, 2007). Incentives do not have to be monetary. One article states, “Many companies believe that </w:t>
      </w:r>
      <w:hyperlink r:id="rId5" w:history="1">
        <w:r w:rsidRPr="00EA0986">
          <w:rPr>
            <w:rFonts w:ascii="Helvetica" w:eastAsia="Times New Roman" w:hAnsi="Helvetica" w:cs="Helvetica"/>
            <w:b/>
            <w:bCs/>
            <w:color w:val="337AB7"/>
            <w:spacing w:val="2"/>
            <w:sz w:val="21"/>
            <w:szCs w:val="21"/>
            <w:u w:val="single"/>
          </w:rPr>
          <w:t>incentives</w:t>
        </w:r>
      </w:hyperlink>
      <w:r w:rsidRPr="00EA0986">
        <w:rPr>
          <w:rFonts w:ascii="Helvetica" w:eastAsia="Times New Roman" w:hAnsi="Helvetica" w:cs="Helvetica"/>
          <w:b/>
          <w:bCs/>
          <w:color w:val="333333"/>
          <w:spacing w:val="2"/>
          <w:sz w:val="21"/>
          <w:szCs w:val="21"/>
        </w:rPr>
        <w:t xml:space="preserve"> help not only in motivating employees but also in recruiting and retaining high-quality workers, boosting morale, and sending a positive message about management's performance expectations (Incentives, 2015). Another area for improvement is organizational productivity, which involves managing the resources, technologies, and </w:t>
      </w:r>
      <w:proofErr w:type="spellStart"/>
      <w:r w:rsidRPr="00EA0986">
        <w:rPr>
          <w:rFonts w:ascii="Helvetica" w:eastAsia="Times New Roman" w:hAnsi="Helvetica" w:cs="Helvetica"/>
          <w:b/>
          <w:bCs/>
          <w:color w:val="333333"/>
          <w:spacing w:val="2"/>
          <w:sz w:val="21"/>
          <w:szCs w:val="21"/>
        </w:rPr>
        <w:t>effergy</w:t>
      </w:r>
      <w:proofErr w:type="spellEnd"/>
      <w:r w:rsidRPr="00EA0986">
        <w:rPr>
          <w:rFonts w:ascii="Helvetica" w:eastAsia="Times New Roman" w:hAnsi="Helvetica" w:cs="Helvetica"/>
          <w:b/>
          <w:bCs/>
          <w:color w:val="333333"/>
          <w:spacing w:val="2"/>
          <w:sz w:val="21"/>
          <w:szCs w:val="21"/>
        </w:rPr>
        <w:t xml:space="preserve"> of the organization (Nassar, 2007).  The final area for improvement is employee performance. Managers can enhance this with proper training, continuous development, and support for their employees (Nassar, 2007). Each of the six areas is a target to improve efficiencies and increase productivity for the organization to ensure it meets its goals. </w:t>
      </w:r>
    </w:p>
    <w:p w14:paraId="3EF47DA7" w14:textId="77777777" w:rsidR="00EA0986" w:rsidRPr="00EA0986" w:rsidRDefault="00EA0986" w:rsidP="00EA0986">
      <w:pPr>
        <w:shd w:val="clear" w:color="auto" w:fill="FFFFFF"/>
        <w:spacing w:after="150" w:line="240" w:lineRule="auto"/>
        <w:rPr>
          <w:rFonts w:ascii="Helvetica" w:eastAsia="Times New Roman" w:hAnsi="Helvetica" w:cs="Helvetica"/>
          <w:color w:val="333333"/>
          <w:spacing w:val="2"/>
          <w:sz w:val="21"/>
          <w:szCs w:val="21"/>
        </w:rPr>
      </w:pPr>
      <w:r w:rsidRPr="00EA0986">
        <w:rPr>
          <w:rFonts w:ascii="Helvetica" w:eastAsia="Times New Roman" w:hAnsi="Helvetica" w:cs="Helvetica"/>
          <w:color w:val="333333"/>
          <w:spacing w:val="2"/>
          <w:sz w:val="21"/>
          <w:szCs w:val="21"/>
        </w:rPr>
        <w:t> </w:t>
      </w:r>
    </w:p>
    <w:p w14:paraId="448535A7" w14:textId="77777777" w:rsidR="00EA0986" w:rsidRPr="00EA0986" w:rsidRDefault="00EA0986" w:rsidP="00EA0986">
      <w:pPr>
        <w:shd w:val="clear" w:color="auto" w:fill="FFFFFF"/>
        <w:spacing w:after="150" w:line="240" w:lineRule="auto"/>
        <w:rPr>
          <w:rFonts w:ascii="Helvetica" w:eastAsia="Times New Roman" w:hAnsi="Helvetica" w:cs="Helvetica"/>
          <w:color w:val="333333"/>
          <w:spacing w:val="2"/>
          <w:sz w:val="21"/>
          <w:szCs w:val="21"/>
        </w:rPr>
      </w:pPr>
      <w:r w:rsidRPr="00EA0986">
        <w:rPr>
          <w:rFonts w:ascii="Helvetica" w:eastAsia="Times New Roman" w:hAnsi="Helvetica" w:cs="Helvetica"/>
          <w:b/>
          <w:bCs/>
          <w:color w:val="333333"/>
          <w:spacing w:val="2"/>
          <w:sz w:val="21"/>
          <w:szCs w:val="21"/>
        </w:rPr>
        <w:t>Incentives. (2015). In T. Riggs (Ed.), Gale Encyclopedia of U.S. Economic History (2nd ed., Vol. 2, p. 601). Farmington Hills, MI: Gale. Retrieved from https://link-gale-com.bethelu.idm.oclc.org/apps/doc/CX3611000418/GVRL?u=tel_a_bethelc&amp;sid=GVRL&amp;xid=ade4d06d</w:t>
      </w:r>
    </w:p>
    <w:p w14:paraId="4568142B" w14:textId="77777777" w:rsidR="00EA0986" w:rsidRPr="00EA0986" w:rsidRDefault="00EA0986" w:rsidP="00EA0986">
      <w:pPr>
        <w:shd w:val="clear" w:color="auto" w:fill="FFFFFF"/>
        <w:spacing w:after="150" w:line="240" w:lineRule="auto"/>
        <w:rPr>
          <w:rFonts w:ascii="Helvetica" w:eastAsia="Times New Roman" w:hAnsi="Helvetica" w:cs="Helvetica"/>
          <w:color w:val="333333"/>
          <w:spacing w:val="2"/>
          <w:sz w:val="21"/>
          <w:szCs w:val="21"/>
        </w:rPr>
      </w:pPr>
      <w:r w:rsidRPr="00EA0986">
        <w:rPr>
          <w:rFonts w:ascii="Helvetica" w:eastAsia="Times New Roman" w:hAnsi="Helvetica" w:cs="Helvetica"/>
          <w:color w:val="333333"/>
          <w:spacing w:val="2"/>
          <w:sz w:val="21"/>
          <w:szCs w:val="21"/>
        </w:rPr>
        <w:t> </w:t>
      </w:r>
    </w:p>
    <w:p w14:paraId="44DAA0EB" w14:textId="77777777" w:rsidR="00EA0986" w:rsidRPr="00EA0986" w:rsidRDefault="00EA0986" w:rsidP="00EA0986">
      <w:pPr>
        <w:shd w:val="clear" w:color="auto" w:fill="FFFFFF"/>
        <w:spacing w:after="150" w:line="240" w:lineRule="auto"/>
        <w:rPr>
          <w:rFonts w:ascii="Helvetica" w:eastAsia="Times New Roman" w:hAnsi="Helvetica" w:cs="Helvetica"/>
          <w:color w:val="333333"/>
          <w:spacing w:val="2"/>
          <w:sz w:val="21"/>
          <w:szCs w:val="21"/>
        </w:rPr>
      </w:pPr>
      <w:r w:rsidRPr="00EA0986">
        <w:rPr>
          <w:rFonts w:ascii="Helvetica" w:eastAsia="Times New Roman" w:hAnsi="Helvetica" w:cs="Helvetica"/>
          <w:b/>
          <w:bCs/>
          <w:color w:val="333333"/>
          <w:spacing w:val="2"/>
          <w:sz w:val="21"/>
          <w:szCs w:val="21"/>
        </w:rPr>
        <w:t>Nassar, N.S. (2007). Bethel University, College of Professional Studies. (Savant Learning Systems) Retrieved from Bethel University, College of Professional Studies</w:t>
      </w:r>
    </w:p>
    <w:p w14:paraId="168D344C" w14:textId="125C3569" w:rsidR="00EA0986" w:rsidRPr="00EA0986" w:rsidRDefault="00EA0986" w:rsidP="00EA0986">
      <w:pPr>
        <w:spacing w:line="240" w:lineRule="auto"/>
        <w:textAlignment w:val="center"/>
        <w:rPr>
          <w:rFonts w:ascii="Times New Roman" w:eastAsia="Times New Roman" w:hAnsi="Times New Roman" w:cs="Times New Roman"/>
          <w:b/>
          <w:bCs/>
          <w:spacing w:val="2"/>
          <w:sz w:val="40"/>
          <w:szCs w:val="40"/>
        </w:rPr>
      </w:pPr>
    </w:p>
    <w:p w14:paraId="5320C50C" w14:textId="6DE7CD94" w:rsidR="00133D6B" w:rsidRPr="00EA0986" w:rsidRDefault="00133D6B">
      <w:pPr>
        <w:rPr>
          <w:b/>
          <w:bCs/>
          <w:sz w:val="44"/>
          <w:szCs w:val="44"/>
        </w:rPr>
      </w:pPr>
    </w:p>
    <w:sectPr w:rsidR="00133D6B" w:rsidRPr="00EA0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E7D64"/>
    <w:multiLevelType w:val="multilevel"/>
    <w:tmpl w:val="5210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86"/>
    <w:rsid w:val="00133D6B"/>
    <w:rsid w:val="00EA0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B7AB"/>
  <w15:chartTrackingRefBased/>
  <w15:docId w15:val="{103A0932-D83E-45A0-A0ED-47DBF8D0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09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615746">
      <w:bodyDiv w:val="1"/>
      <w:marLeft w:val="0"/>
      <w:marRight w:val="0"/>
      <w:marTop w:val="0"/>
      <w:marBottom w:val="0"/>
      <w:divBdr>
        <w:top w:val="none" w:sz="0" w:space="0" w:color="auto"/>
        <w:left w:val="none" w:sz="0" w:space="0" w:color="auto"/>
        <w:bottom w:val="none" w:sz="0" w:space="0" w:color="auto"/>
        <w:right w:val="none" w:sz="0" w:space="0" w:color="auto"/>
      </w:divBdr>
      <w:divsChild>
        <w:div w:id="1065837139">
          <w:marLeft w:val="0"/>
          <w:marRight w:val="0"/>
          <w:marTop w:val="0"/>
          <w:marBottom w:val="0"/>
          <w:divBdr>
            <w:top w:val="none" w:sz="0" w:space="0" w:color="auto"/>
            <w:left w:val="none" w:sz="0" w:space="0" w:color="auto"/>
            <w:bottom w:val="none" w:sz="0" w:space="0" w:color="auto"/>
            <w:right w:val="none" w:sz="0" w:space="0" w:color="auto"/>
          </w:divBdr>
          <w:divsChild>
            <w:div w:id="1396854708">
              <w:marLeft w:val="0"/>
              <w:marRight w:val="0"/>
              <w:marTop w:val="225"/>
              <w:marBottom w:val="225"/>
              <w:divBdr>
                <w:top w:val="none" w:sz="0" w:space="0" w:color="auto"/>
                <w:left w:val="none" w:sz="0" w:space="0" w:color="auto"/>
                <w:bottom w:val="none" w:sz="0" w:space="0" w:color="auto"/>
                <w:right w:val="none" w:sz="0" w:space="0" w:color="auto"/>
              </w:divBdr>
              <w:divsChild>
                <w:div w:id="843010853">
                  <w:marLeft w:val="0"/>
                  <w:marRight w:val="0"/>
                  <w:marTop w:val="0"/>
                  <w:marBottom w:val="0"/>
                  <w:divBdr>
                    <w:top w:val="none" w:sz="0" w:space="0" w:color="auto"/>
                    <w:left w:val="none" w:sz="0" w:space="0" w:color="auto"/>
                    <w:bottom w:val="none" w:sz="0" w:space="0" w:color="auto"/>
                    <w:right w:val="none" w:sz="0" w:space="0" w:color="auto"/>
                  </w:divBdr>
                  <w:divsChild>
                    <w:div w:id="1211914798">
                      <w:marLeft w:val="0"/>
                      <w:marRight w:val="0"/>
                      <w:marTop w:val="0"/>
                      <w:marBottom w:val="0"/>
                      <w:divBdr>
                        <w:top w:val="none" w:sz="0" w:space="0" w:color="auto"/>
                        <w:left w:val="none" w:sz="0" w:space="0" w:color="auto"/>
                        <w:bottom w:val="none" w:sz="0" w:space="0" w:color="auto"/>
                        <w:right w:val="none" w:sz="0" w:space="0" w:color="auto"/>
                      </w:divBdr>
                      <w:divsChild>
                        <w:div w:id="1076368055">
                          <w:marLeft w:val="0"/>
                          <w:marRight w:val="0"/>
                          <w:marTop w:val="0"/>
                          <w:marBottom w:val="0"/>
                          <w:divBdr>
                            <w:top w:val="none" w:sz="0" w:space="0" w:color="auto"/>
                            <w:left w:val="none" w:sz="0" w:space="0" w:color="auto"/>
                            <w:bottom w:val="none" w:sz="0" w:space="0" w:color="auto"/>
                            <w:right w:val="none" w:sz="0" w:space="0" w:color="auto"/>
                          </w:divBdr>
                          <w:divsChild>
                            <w:div w:id="447235919">
                              <w:marLeft w:val="0"/>
                              <w:marRight w:val="0"/>
                              <w:marTop w:val="0"/>
                              <w:marBottom w:val="0"/>
                              <w:divBdr>
                                <w:top w:val="none" w:sz="0" w:space="0" w:color="auto"/>
                                <w:left w:val="none" w:sz="0" w:space="0" w:color="auto"/>
                                <w:bottom w:val="none" w:sz="0" w:space="0" w:color="auto"/>
                                <w:right w:val="none" w:sz="0" w:space="0" w:color="auto"/>
                              </w:divBdr>
                            </w:div>
                          </w:divsChild>
                        </w:div>
                        <w:div w:id="1219705525">
                          <w:marLeft w:val="0"/>
                          <w:marRight w:val="0"/>
                          <w:marTop w:val="0"/>
                          <w:marBottom w:val="0"/>
                          <w:divBdr>
                            <w:top w:val="none" w:sz="0" w:space="0" w:color="auto"/>
                            <w:left w:val="none" w:sz="0" w:space="0" w:color="auto"/>
                            <w:bottom w:val="none" w:sz="0" w:space="0" w:color="auto"/>
                            <w:right w:val="none" w:sz="0" w:space="0" w:color="auto"/>
                          </w:divBdr>
                          <w:divsChild>
                            <w:div w:id="1972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gale-com.bethelu.idm.oclc.org/ps/retrieve.do?tabID=T003&amp;resultListType=RESULT_LIST&amp;searchResultsType=SingleTab&amp;searchType=AdvancedSearchForm&amp;currentPosition=1&amp;docId=GALE%7CCX3611000418&amp;docType=Topic+overview&amp;sort=Relevance&amp;contentSegment=&amp;prodId=GVRL&amp;contentSet=GALE%7CCX3611000418&amp;searchId=R2&amp;userGroupName=tel_a_bethelc&amp;inPS=true&amp;ps=1&amp;c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2020-05-01T20:54:00Z</dcterms:created>
  <dcterms:modified xsi:type="dcterms:W3CDTF">2020-05-01T20:58:00Z</dcterms:modified>
</cp:coreProperties>
</file>